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80"/>
      </w:pPr>
      <w:r>
        <w:rPr>
          <w:rFonts w:ascii="Arial" w:cs="Arial" w:eastAsia="Arial" w:hAnsi="Arial"/>
          <w:b/>
          <w:bCs/>
          <w:color w:val="1F3864"/>
          <w:sz w:val="36"/>
          <w:szCs w:val="36"/>
        </w:rPr>
        <w:t xml:space="preserve">Аминокислоты при депрессии и нейропатической боли</w:t>
      </w:r>
    </w:p>
    <w:p>
      <w:pPr>
        <w:pBdr>
          <w:bottom w:val="single" w:color="2E5597" w:sz="6" w:space="4"/>
        </w:pBdr>
        <w:spacing w:after="240"/>
      </w:pPr>
      <w:r>
        <w:rPr>
          <w:rFonts w:ascii="Arial" w:cs="Arial" w:eastAsia="Arial" w:hAnsi="Arial"/>
          <w:color w:val="595959"/>
          <w:sz w:val="22"/>
          <w:szCs w:val="22"/>
        </w:rPr>
        <w:t xml:space="preserve">Обзор доказательной базы · октябрь 2026</w:t>
      </w:r>
    </w:p>
    <w:p>
      <w:pPr>
        <w:spacing w:after="120" w:line="276"/>
      </w:pPr>
      <w:r>
        <w:rPr>
          <w:rFonts w:ascii="Arial" w:cs="Arial" w:eastAsia="Arial" w:hAnsi="Arial"/>
          <w:sz w:val="22"/>
          <w:szCs w:val="22"/>
        </w:rPr>
        <w:t xml:space="preserve">Коротко: ни одна аминокислота не имеет доказательной базы уровня стандартных препаратов. Лучше всего изучен ацетил-L-карнитин, но и по нему качество данных низкое. Материал носит информационный характер и не заменяет консультацию врача.</w:t>
      </w:r>
    </w:p>
    <w:p>
      <w:pPr>
        <w:pStyle w:val="Heading1"/>
        <w:spacing w:after="120" w:before="280"/>
      </w:pPr>
      <w:r>
        <w:rPr>
          <w:rFonts w:ascii="Arial" w:cs="Arial" w:eastAsia="Arial" w:hAnsi="Arial"/>
          <w:b/>
          <w:bCs/>
          <w:color w:val="1F3864"/>
          <w:sz w:val="28"/>
          <w:szCs w:val="28"/>
        </w:rPr>
        <w:t xml:space="preserve">Итоговая таблица</w:t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200"/>
        <w:gridCol w:w="2000"/>
        <w:gridCol w:w="2700"/>
        <w:gridCol w:w="2126"/>
      </w:tblGrid>
      <w:tr>
        <w:trPr>
          <w:tblHeader/>
        </w:trPr>
        <w:tc>
          <w:tcPr>
            <w:tcW w:type="dxa" w:w="22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shd w:fill="D9E2F3" w:color="auto" w:val="clear"/>
            <w:tcMar>
              <w:top w:type="dxa" w:w="70"/>
              <w:left w:type="dxa" w:w="100"/>
              <w:bottom w:type="dxa" w:w="7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20"/>
                <w:szCs w:val="20"/>
              </w:rPr>
              <w:t xml:space="preserve">Вещество</w:t>
            </w:r>
          </w:p>
        </w:tc>
        <w:tc>
          <w:tcPr>
            <w:tcW w:type="dxa" w:w="20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shd w:fill="D9E2F3" w:color="auto" w:val="clear"/>
            <w:tcMar>
              <w:top w:type="dxa" w:w="70"/>
              <w:left w:type="dxa" w:w="100"/>
              <w:bottom w:type="dxa" w:w="7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20"/>
                <w:szCs w:val="20"/>
              </w:rPr>
              <w:t xml:space="preserve">Депрессия</w:t>
            </w:r>
          </w:p>
        </w:tc>
        <w:tc>
          <w:tcPr>
            <w:tcW w:type="dxa" w:w="27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shd w:fill="D9E2F3" w:color="auto" w:val="clear"/>
            <w:tcMar>
              <w:top w:type="dxa" w:w="70"/>
              <w:left w:type="dxa" w:w="100"/>
              <w:bottom w:type="dxa" w:w="7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20"/>
                <w:szCs w:val="20"/>
              </w:rPr>
              <w:t xml:space="preserve">Нейропатическая боль</w:t>
            </w:r>
          </w:p>
        </w:tc>
        <w:tc>
          <w:tcPr>
            <w:tcW w:type="dxa" w:w="2126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shd w:fill="D9E2F3" w:color="auto" w:val="clear"/>
            <w:tcMar>
              <w:top w:type="dxa" w:w="70"/>
              <w:left w:type="dxa" w:w="100"/>
              <w:bottom w:type="dxa" w:w="7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sz w:val="20"/>
                <w:szCs w:val="20"/>
              </w:rPr>
              <w:t xml:space="preserve">Качество данных</w:t>
            </w:r>
          </w:p>
        </w:tc>
      </w:tr>
      <w:tr>
        <w:trPr>
          <w:tblHeader w:val="false"/>
        </w:trPr>
        <w:tc>
          <w:tcPr>
            <w:tcW w:type="dxa" w:w="22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70"/>
              <w:left w:type="dxa" w:w="100"/>
              <w:bottom w:type="dxa" w:w="70"/>
              <w:right w:type="dxa" w:w="10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Ацетил-L-карнитин</w:t>
            </w:r>
          </w:p>
        </w:tc>
        <w:tc>
          <w:tcPr>
            <w:tcW w:type="dxa" w:w="20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70"/>
              <w:left w:type="dxa" w:w="100"/>
              <w:bottom w:type="dxa" w:w="70"/>
              <w:right w:type="dxa" w:w="10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умеренный эффект</w:t>
            </w:r>
          </w:p>
        </w:tc>
        <w:tc>
          <w:tcPr>
            <w:tcW w:type="dxa" w:w="27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70"/>
              <w:left w:type="dxa" w:w="100"/>
              <w:bottom w:type="dxa" w:w="70"/>
              <w:right w:type="dxa" w:w="10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небольшой эффект, лучше при диабете</w:t>
            </w:r>
          </w:p>
        </w:tc>
        <w:tc>
          <w:tcPr>
            <w:tcW w:type="dxa" w:w="2126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70"/>
              <w:left w:type="dxa" w:w="100"/>
              <w:bottom w:type="dxa" w:w="70"/>
              <w:right w:type="dxa" w:w="10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низкое / очень низкое</w:t>
            </w:r>
          </w:p>
        </w:tc>
      </w:tr>
      <w:tr>
        <w:trPr>
          <w:tblHeader w:val="false"/>
        </w:trPr>
        <w:tc>
          <w:tcPr>
            <w:tcW w:type="dxa" w:w="22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70"/>
              <w:left w:type="dxa" w:w="100"/>
              <w:bottom w:type="dxa" w:w="70"/>
              <w:right w:type="dxa" w:w="10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SAMe (производное метионина)</w:t>
            </w:r>
          </w:p>
        </w:tc>
        <w:tc>
          <w:tcPr>
            <w:tcW w:type="dxa" w:w="20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70"/>
              <w:left w:type="dxa" w:w="100"/>
              <w:bottom w:type="dxa" w:w="70"/>
              <w:right w:type="dxa" w:w="10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умеренный эффект</w:t>
            </w:r>
          </w:p>
        </w:tc>
        <w:tc>
          <w:tcPr>
            <w:tcW w:type="dxa" w:w="27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70"/>
              <w:left w:type="dxa" w:w="100"/>
              <w:bottom w:type="dxa" w:w="70"/>
              <w:right w:type="dxa" w:w="10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данных не найдено</w:t>
            </w:r>
          </w:p>
        </w:tc>
        <w:tc>
          <w:tcPr>
            <w:tcW w:type="dxa" w:w="2126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70"/>
              <w:left w:type="dxa" w:w="100"/>
              <w:bottom w:type="dxa" w:w="70"/>
              <w:right w:type="dxa" w:w="10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среднее (монотерапия)</w:t>
            </w:r>
          </w:p>
        </w:tc>
      </w:tr>
      <w:tr>
        <w:trPr>
          <w:tblHeader w:val="false"/>
        </w:trPr>
        <w:tc>
          <w:tcPr>
            <w:tcW w:type="dxa" w:w="22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70"/>
              <w:left w:type="dxa" w:w="100"/>
              <w:bottom w:type="dxa" w:w="70"/>
              <w:right w:type="dxa" w:w="10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NAC (N-ацетилцистеин)</w:t>
            </w:r>
          </w:p>
        </w:tc>
        <w:tc>
          <w:tcPr>
            <w:tcW w:type="dxa" w:w="20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70"/>
              <w:left w:type="dxa" w:w="100"/>
              <w:bottom w:type="dxa" w:w="70"/>
              <w:right w:type="dxa" w:w="10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малый эффект</w:t>
            </w:r>
          </w:p>
        </w:tc>
        <w:tc>
          <w:tcPr>
            <w:tcW w:type="dxa" w:w="27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70"/>
              <w:left w:type="dxa" w:w="100"/>
              <w:bottom w:type="dxa" w:w="70"/>
              <w:right w:type="dxa" w:w="10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данных не найдено</w:t>
            </w:r>
          </w:p>
        </w:tc>
        <w:tc>
          <w:tcPr>
            <w:tcW w:type="dxa" w:w="2126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70"/>
              <w:left w:type="dxa" w:w="100"/>
              <w:bottom w:type="dxa" w:w="70"/>
              <w:right w:type="dxa" w:w="10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низкое</w:t>
            </w:r>
          </w:p>
        </w:tc>
      </w:tr>
      <w:tr>
        <w:trPr>
          <w:tblHeader w:val="false"/>
        </w:trPr>
        <w:tc>
          <w:tcPr>
            <w:tcW w:type="dxa" w:w="22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70"/>
              <w:left w:type="dxa" w:w="100"/>
              <w:bottom w:type="dxa" w:w="70"/>
              <w:right w:type="dxa" w:w="10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5-HTP / триптофан</w:t>
            </w:r>
          </w:p>
        </w:tc>
        <w:tc>
          <w:tcPr>
            <w:tcW w:type="dxa" w:w="20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70"/>
              <w:left w:type="dxa" w:w="100"/>
              <w:bottom w:type="dxa" w:w="70"/>
              <w:right w:type="dxa" w:w="10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вероятно помогают</w:t>
            </w:r>
          </w:p>
        </w:tc>
        <w:tc>
          <w:tcPr>
            <w:tcW w:type="dxa" w:w="27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70"/>
              <w:left w:type="dxa" w:w="100"/>
              <w:bottom w:type="dxa" w:w="70"/>
              <w:right w:type="dxa" w:w="10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не применяются</w:t>
            </w:r>
          </w:p>
        </w:tc>
        <w:tc>
          <w:tcPr>
            <w:tcW w:type="dxa" w:w="2126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70"/>
              <w:left w:type="dxa" w:w="100"/>
              <w:bottom w:type="dxa" w:w="70"/>
              <w:right w:type="dxa" w:w="10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низкое</w:t>
            </w:r>
          </w:p>
        </w:tc>
      </w:tr>
      <w:tr>
        <w:trPr>
          <w:tblHeader w:val="false"/>
        </w:trPr>
        <w:tc>
          <w:tcPr>
            <w:tcW w:type="dxa" w:w="22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70"/>
              <w:left w:type="dxa" w:w="100"/>
              <w:bottom w:type="dxa" w:w="70"/>
              <w:right w:type="dxa" w:w="10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Фенилаланин / тирозин</w:t>
            </w:r>
          </w:p>
        </w:tc>
        <w:tc>
          <w:tcPr>
            <w:tcW w:type="dxa" w:w="20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70"/>
              <w:left w:type="dxa" w:w="100"/>
              <w:bottom w:type="dxa" w:w="70"/>
              <w:right w:type="dxa" w:w="10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слабые данные</w:t>
            </w:r>
          </w:p>
        </w:tc>
        <w:tc>
          <w:tcPr>
            <w:tcW w:type="dxa" w:w="27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70"/>
              <w:left w:type="dxa" w:w="100"/>
              <w:bottom w:type="dxa" w:w="70"/>
              <w:right w:type="dxa" w:w="10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противоречивые данные</w:t>
            </w:r>
          </w:p>
        </w:tc>
        <w:tc>
          <w:tcPr>
            <w:tcW w:type="dxa" w:w="2126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70"/>
              <w:left w:type="dxa" w:w="100"/>
              <w:bottom w:type="dxa" w:w="70"/>
              <w:right w:type="dxa" w:w="10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очень низкое</w:t>
            </w:r>
          </w:p>
        </w:tc>
      </w:tr>
      <w:tr>
        <w:trPr>
          <w:tblHeader w:val="false"/>
        </w:trPr>
        <w:tc>
          <w:tcPr>
            <w:tcW w:type="dxa" w:w="22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70"/>
              <w:left w:type="dxa" w:w="100"/>
              <w:bottom w:type="dxa" w:w="70"/>
              <w:right w:type="dxa" w:w="10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Креатин (производное аминокислот)</w:t>
            </w:r>
          </w:p>
        </w:tc>
        <w:tc>
          <w:tcPr>
            <w:tcW w:type="dxa" w:w="20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70"/>
              <w:left w:type="dxa" w:w="100"/>
              <w:bottom w:type="dxa" w:w="70"/>
              <w:right w:type="dxa" w:w="10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малый, клинически спорный</w:t>
            </w:r>
          </w:p>
        </w:tc>
        <w:tc>
          <w:tcPr>
            <w:tcW w:type="dxa" w:w="27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70"/>
              <w:left w:type="dxa" w:w="100"/>
              <w:bottom w:type="dxa" w:w="70"/>
              <w:right w:type="dxa" w:w="10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не изучен</w:t>
            </w:r>
          </w:p>
        </w:tc>
        <w:tc>
          <w:tcPr>
            <w:tcW w:type="dxa" w:w="2126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70"/>
              <w:left w:type="dxa" w:w="100"/>
              <w:bottom w:type="dxa" w:w="70"/>
              <w:right w:type="dxa" w:w="10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очень низкое</w:t>
            </w:r>
          </w:p>
        </w:tc>
      </w:tr>
      <w:tr>
        <w:trPr>
          <w:tblHeader w:val="false"/>
        </w:trPr>
        <w:tc>
          <w:tcPr>
            <w:tcW w:type="dxa" w:w="22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70"/>
              <w:left w:type="dxa" w:w="100"/>
              <w:bottom w:type="dxa" w:w="70"/>
              <w:right w:type="dxa" w:w="10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Таурин</w:t>
            </w:r>
          </w:p>
        </w:tc>
        <w:tc>
          <w:tcPr>
            <w:tcW w:type="dxa" w:w="20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70"/>
              <w:left w:type="dxa" w:w="100"/>
              <w:bottom w:type="dxa" w:w="70"/>
              <w:right w:type="dxa" w:w="10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не изучен</w:t>
            </w:r>
          </w:p>
        </w:tc>
        <w:tc>
          <w:tcPr>
            <w:tcW w:type="dxa" w:w="27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70"/>
              <w:left w:type="dxa" w:w="100"/>
              <w:bottom w:type="dxa" w:w="70"/>
              <w:right w:type="dxa" w:w="10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только на животных</w:t>
            </w:r>
          </w:p>
        </w:tc>
        <w:tc>
          <w:tcPr>
            <w:tcW w:type="dxa" w:w="2126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70"/>
              <w:left w:type="dxa" w:w="100"/>
              <w:bottom w:type="dxa" w:w="70"/>
              <w:right w:type="dxa" w:w="10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нет данных на людях</w:t>
            </w:r>
          </w:p>
        </w:tc>
      </w:tr>
    </w:tbl>
    <w:p>
      <w:pPr>
        <w:pStyle w:val="Heading1"/>
        <w:spacing w:after="120" w:before="280"/>
      </w:pPr>
      <w:r>
        <w:rPr>
          <w:rFonts w:ascii="Arial" w:cs="Arial" w:eastAsia="Arial" w:hAnsi="Arial"/>
          <w:b/>
          <w:bCs/>
          <w:color w:val="1F3864"/>
          <w:sz w:val="28"/>
          <w:szCs w:val="28"/>
        </w:rPr>
        <w:t xml:space="preserve">Ацетил-L-карнитин (АЛК)</w:t>
      </w:r>
    </w:p>
    <w:p>
      <w:pPr>
        <w:pStyle w:val="Heading2"/>
        <w:spacing w:after="100" w:before="220"/>
      </w:pPr>
      <w:r>
        <w:rPr>
          <w:rFonts w:ascii="Arial" w:cs="Arial" w:eastAsia="Arial" w:hAnsi="Arial"/>
          <w:b/>
          <w:bCs/>
          <w:color w:val="2E5597"/>
          <w:sz w:val="24"/>
          <w:szCs w:val="24"/>
        </w:rPr>
        <w:t xml:space="preserve">Депрессия</w:t>
      </w:r>
    </w:p>
    <w:p>
      <w:pPr>
        <w:spacing w:after="120" w:line="276"/>
      </w:pPr>
      <w:r>
        <w:rPr>
          <w:rFonts w:ascii="Arial" w:cs="Arial" w:eastAsia="Arial" w:hAnsi="Arial"/>
          <w:sz w:val="22"/>
          <w:szCs w:val="22"/>
        </w:rPr>
        <w:t xml:space="preserve">Мета-анализ 2017 года включил 12 РКИ (791 участник); эффект был сильнее у пожилых. Свежий мета-анализ (14 РКИ и одно открытое исследование, 809 участников) показал, что АЛК снижает симптомы лучше плацебо, сопоставимо со стандартными антидепрессантами и с меньшим числом побочных эффектов, особенно у пожилых и при резистентной депрессии. При этом специалисты отмечают, что нужны более качественные исследования; качество доказательств правильнее оценивать как низкое.</w:t>
      </w:r>
    </w:p>
    <w:p>
      <w:pPr>
        <w:pStyle w:val="Heading2"/>
        <w:spacing w:after="100" w:before="220"/>
      </w:pPr>
      <w:r>
        <w:rPr>
          <w:rFonts w:ascii="Arial" w:cs="Arial" w:eastAsia="Arial" w:hAnsi="Arial"/>
          <w:b/>
          <w:bCs/>
          <w:color w:val="2E5597"/>
          <w:sz w:val="24"/>
          <w:szCs w:val="24"/>
        </w:rPr>
        <w:t xml:space="preserve">Нейропатическая боль</w:t>
      </w:r>
    </w:p>
    <w:p>
      <w:pPr>
        <w:spacing w:after="120" w:line="276"/>
      </w:pPr>
      <w:r>
        <w:rPr>
          <w:rFonts w:ascii="Arial" w:cs="Arial" w:eastAsia="Arial" w:hAnsi="Arial"/>
          <w:sz w:val="22"/>
          <w:szCs w:val="22"/>
        </w:rPr>
        <w:t xml:space="preserve">Мета-анализ 2015 года (4 РКИ, 523 участника): снижение боли по ВАШ примерно на 1,2 см; при диабетической нейропатии эффект выше (1,47 см), при недиабетической статистически не достигнут. Cochrane для диабетической нейропатии осторожнее: разница около 9 мм по 100-мм шкале, качество доказательств очень низкое, эффект через 6–12 месяцев неясен. Клинически значимой обычно считают разницу в 10–20 мм.</w:t>
      </w:r>
    </w:p>
    <w:p>
      <w:pPr>
        <w:pStyle w:val="Heading2"/>
        <w:spacing w:after="100" w:before="220"/>
      </w:pPr>
      <w:r>
        <w:rPr>
          <w:rFonts w:ascii="Arial" w:cs="Arial" w:eastAsia="Arial" w:hAnsi="Arial"/>
          <w:b/>
          <w:bCs/>
          <w:color w:val="2E5597"/>
          <w:sz w:val="24"/>
          <w:szCs w:val="24"/>
        </w:rPr>
        <w:t xml:space="preserve">Нейропатия от химиотерапии</w:t>
      </w:r>
    </w:p>
    <w:p>
      <w:pPr>
        <w:spacing w:after="120" w:line="276"/>
      </w:pPr>
      <w:r>
        <w:rPr>
          <w:rFonts w:ascii="Arial" w:cs="Arial" w:eastAsia="Arial" w:hAnsi="Arial"/>
          <w:sz w:val="22"/>
          <w:szCs w:val="22"/>
        </w:rPr>
        <w:t xml:space="preserve">В исследовании SWOG S0715 АЛК 1000 мг трижды в день в течение 24 недель назначали женщинам на таксанах: нейропатия стала хуже, чем на плацебо, и разница сохранялась 2 года. Онкологические рекомендации не советуют АЛК при этом состоянии. В китайском исследовании у пациентов с уже имеющейся нейропатией улучшение наблюдалось чаще, чем на плацебо, так что картина смешанная.</w:t>
      </w:r>
    </w:p>
    <w:p>
      <w:pPr>
        <w:pStyle w:val="Heading1"/>
        <w:spacing w:after="120" w:before="280"/>
      </w:pPr>
      <w:r>
        <w:rPr>
          <w:rFonts w:ascii="Arial" w:cs="Arial" w:eastAsia="Arial" w:hAnsi="Arial"/>
          <w:b/>
          <w:bCs/>
          <w:color w:val="1F3864"/>
          <w:sz w:val="28"/>
          <w:szCs w:val="28"/>
        </w:rPr>
        <w:t xml:space="preserve">SAMe</w:t>
      </w:r>
    </w:p>
    <w:p>
      <w:pPr>
        <w:spacing w:after="120" w:line="276"/>
      </w:pPr>
      <w:r>
        <w:rPr>
          <w:rFonts w:ascii="Arial" w:cs="Arial" w:eastAsia="Arial" w:hAnsi="Arial"/>
          <w:sz w:val="22"/>
          <w:szCs w:val="22"/>
        </w:rPr>
        <w:t xml:space="preserve">SAMe является производным метионина. Мета-анализ 23 РКИ показал, что монотерапия SAMe, вероятно, даёт умеренную пользу при депрессии (доказательства средней достоверности). Эффект был при внутримышечном (SMD −0,92) и пероральном (SMD −0,66) приёме, но не при внутривенном. Как добавка к антидепрессантам эффективность остаётся неопределённой. Данных по нейропатической боли не найдено.</w:t>
      </w:r>
    </w:p>
    <w:p>
      <w:pPr>
        <w:pStyle w:val="Heading1"/>
        <w:spacing w:after="120" w:before="280"/>
      </w:pPr>
      <w:r>
        <w:rPr>
          <w:rFonts w:ascii="Arial" w:cs="Arial" w:eastAsia="Arial" w:hAnsi="Arial"/>
          <w:b/>
          <w:bCs/>
          <w:color w:val="1F3864"/>
          <w:sz w:val="28"/>
          <w:szCs w:val="28"/>
        </w:rPr>
        <w:t xml:space="preserve">N-ацетилцистеин (NAC)</w:t>
      </w:r>
    </w:p>
    <w:p>
      <w:pPr>
        <w:spacing w:after="120" w:line="276"/>
      </w:pPr>
      <w:r>
        <w:rPr>
          <w:rFonts w:ascii="Arial" w:cs="Arial" w:eastAsia="Arial" w:hAnsi="Arial"/>
          <w:sz w:val="22"/>
          <w:szCs w:val="22"/>
        </w:rPr>
        <w:t xml:space="preserve">Мета-анализ 2016 года (5 РКИ, 574 участника): SMD 0,37 в пользу NAC, нежелательные явления лёгкие. Мета-анализ 2018 года скептичнее: при большой депрессии и биполярном расстройстве эффективность не подтверждена. Обновление 2024 года (12 исследований, 904 пациента) нашло малый эффект (SMD −0,24) с широким доверительным интервалом.</w:t>
      </w:r>
    </w:p>
    <w:p>
      <w:pPr>
        <w:pStyle w:val="Heading1"/>
        <w:spacing w:after="120" w:before="280"/>
      </w:pPr>
      <w:r>
        <w:rPr>
          <w:rFonts w:ascii="Arial" w:cs="Arial" w:eastAsia="Arial" w:hAnsi="Arial"/>
          <w:b/>
          <w:bCs/>
          <w:color w:val="1F3864"/>
          <w:sz w:val="28"/>
          <w:szCs w:val="28"/>
        </w:rPr>
        <w:t xml:space="preserve">5-HTP и триптофан</w:t>
      </w:r>
    </w:p>
    <w:p>
      <w:pPr>
        <w:spacing w:after="120" w:line="276"/>
      </w:pPr>
      <w:r>
        <w:rPr>
          <w:rFonts w:ascii="Arial" w:cs="Arial" w:eastAsia="Arial" w:hAnsi="Arial"/>
          <w:sz w:val="22"/>
          <w:szCs w:val="22"/>
        </w:rPr>
        <w:t xml:space="preserve">Cochrane (2002) нашёл лишь два исследования приемлемого качества (64 пациента). Препараты, по-видимому, лучше плацебо, но при наличии проверенных антидепрессантов клиническая польза ограничена. Мета-анализ 2020 года дал впечатляющие цифры (ремиссия 0,65, g 1,11), но основан на гетерогенных, в основном не плацебо-контролируемых работах.</w:t>
      </w:r>
    </w:p>
    <w:p>
      <w:pPr>
        <w:pStyle w:val="Heading1"/>
        <w:spacing w:after="120" w:before="280"/>
      </w:pPr>
      <w:r>
        <w:rPr>
          <w:rFonts w:ascii="Arial" w:cs="Arial" w:eastAsia="Arial" w:hAnsi="Arial"/>
          <w:b/>
          <w:bCs/>
          <w:color w:val="1F3864"/>
          <w:sz w:val="28"/>
          <w:szCs w:val="28"/>
        </w:rPr>
        <w:t xml:space="preserve">Фенилаланин и тирозин</w:t>
      </w:r>
    </w:p>
    <w:p>
      <w:pPr>
        <w:spacing w:after="120" w:line="276"/>
      </w:pPr>
      <w:r>
        <w:rPr>
          <w:rFonts w:ascii="Arial" w:cs="Arial" w:eastAsia="Arial" w:hAnsi="Arial"/>
          <w:sz w:val="22"/>
          <w:szCs w:val="22"/>
        </w:rPr>
        <w:t xml:space="preserve">Самые слабые данные. Двойных слепых плацебо-контролируемых исследований фенилаланина при депрессии не проводили, данные об обезболивании слабые и противоречивые. Обзор нейромедиаторных предшественников: твёрдых выводов сделать нельзя, возможна польза при лёгкой и умеренной депрессии. DL-фенилаланин нельзя принимать при лечении антипсихотиками (риск поздней дискинезии).</w:t>
      </w:r>
    </w:p>
    <w:p>
      <w:pPr>
        <w:pStyle w:val="Heading1"/>
        <w:spacing w:after="120" w:before="280"/>
      </w:pPr>
      <w:r>
        <w:rPr>
          <w:rFonts w:ascii="Arial" w:cs="Arial" w:eastAsia="Arial" w:hAnsi="Arial"/>
          <w:b/>
          <w:bCs/>
          <w:color w:val="1F3864"/>
          <w:sz w:val="28"/>
          <w:szCs w:val="28"/>
        </w:rPr>
        <w:t xml:space="preserve">Креатин</w:t>
      </w:r>
    </w:p>
    <w:p>
      <w:pPr>
        <w:spacing w:after="120" w:line="276"/>
      </w:pPr>
      <w:r>
        <w:rPr>
          <w:rFonts w:ascii="Arial" w:cs="Arial" w:eastAsia="Arial" w:hAnsi="Arial"/>
          <w:sz w:val="22"/>
          <w:szCs w:val="22"/>
        </w:rPr>
        <w:t xml:space="preserve">Мета-анализ 2025 года (11 РКИ, 1093 участника): SMD −0,34, очень низкое качество; это около 2,2 балла по HAM-D, то есть ниже порога клинической значимости (3 балла), и есть признаки смещения в пользу креатина. Чаще всего в исследованиях использовали 5 г в сутки.</w:t>
      </w:r>
    </w:p>
    <w:p>
      <w:pPr>
        <w:pStyle w:val="Heading1"/>
        <w:spacing w:after="120" w:before="280"/>
      </w:pPr>
      <w:r>
        <w:rPr>
          <w:rFonts w:ascii="Arial" w:cs="Arial" w:eastAsia="Arial" w:hAnsi="Arial"/>
          <w:b/>
          <w:bCs/>
          <w:color w:val="1F3864"/>
          <w:sz w:val="28"/>
          <w:szCs w:val="28"/>
        </w:rPr>
        <w:t xml:space="preserve">Таурин и другие аминокислоты при боли</w:t>
      </w:r>
    </w:p>
    <w:p>
      <w:pPr>
        <w:spacing w:after="120" w:line="276"/>
      </w:pPr>
      <w:r>
        <w:rPr>
          <w:rFonts w:ascii="Arial" w:cs="Arial" w:eastAsia="Arial" w:hAnsi="Arial"/>
          <w:sz w:val="22"/>
          <w:szCs w:val="22"/>
        </w:rPr>
        <w:t xml:space="preserve">Для таурина данные только на крысах: спинальное введение уменьшало аллодинию в моделях нейропатической боли через глицинергическую передачу. Клинических исследований при нейропатии не найдено. Про глицин, аргинин и глутамин качественных данных на людях тоже нет.</w:t>
      </w:r>
    </w:p>
    <w:p>
      <w:pPr>
        <w:pStyle w:val="Heading1"/>
        <w:spacing w:after="120" w:before="280"/>
      </w:pPr>
      <w:r>
        <w:rPr>
          <w:rFonts w:ascii="Arial" w:cs="Arial" w:eastAsia="Arial" w:hAnsi="Arial"/>
          <w:b/>
          <w:bCs/>
          <w:color w:val="1F3864"/>
          <w:sz w:val="28"/>
          <w:szCs w:val="28"/>
        </w:rPr>
        <w:t xml:space="preserve">Что рекомендуют при нейропатической боли</w:t>
      </w:r>
    </w:p>
    <w:p>
      <w:pPr>
        <w:spacing w:after="120" w:line="276"/>
      </w:pPr>
      <w:r>
        <w:rPr>
          <w:rFonts w:ascii="Arial" w:cs="Arial" w:eastAsia="Arial" w:hAnsi="Arial"/>
          <w:sz w:val="22"/>
          <w:szCs w:val="22"/>
        </w:rPr>
        <w:t xml:space="preserve">Не аминокислоты. Обновление NeuPSIG 2025 года (313 РКИ) выделило трициклические антидепрессанты, габапентиноиды и СИОЗСН как лучшие по соотношению эффекта и переносимости (NNT 4,6–8,9). Второй линией названы капсаициновые и лидокаиновые пластыри.</w:t>
      </w:r>
    </w:p>
    <w:p>
      <w:pPr>
        <w:spacing w:after="120" w:line="276"/>
      </w:pPr>
      <w:r>
        <w:rPr>
          <w:rFonts w:ascii="Arial" w:cs="Arial" w:eastAsia="Arial" w:hAnsi="Arial"/>
          <w:sz w:val="22"/>
          <w:szCs w:val="22"/>
        </w:rPr>
        <w:t xml:space="preserve">Из добавок лучшие данные у альфа-липоевой кислоты (она не аминокислота). При диабетической нейропатии внутривенно 600 мг в день три недели облегчает симптомы; пероральный приём даёт меньший, клинически не значимый эффект, хотя более новый мета-анализ считает, что 600–1800 мг внутрь могут быть полезны.</w:t>
      </w:r>
    </w:p>
    <w:p>
      <w:pPr>
        <w:pStyle w:val="Heading1"/>
        <w:spacing w:after="120" w:before="280"/>
      </w:pPr>
      <w:r>
        <w:rPr>
          <w:rFonts w:ascii="Arial" w:cs="Arial" w:eastAsia="Arial" w:hAnsi="Arial"/>
          <w:b/>
          <w:bCs/>
          <w:color w:val="1F3864"/>
          <w:sz w:val="28"/>
          <w:szCs w:val="28"/>
        </w:rPr>
        <w:t xml:space="preserve">Безопасность</w:t>
      </w:r>
    </w:p>
    <w:p>
      <w:pPr>
        <w:spacing w:after="120" w:line="276"/>
      </w:pPr>
      <w:r>
        <w:rPr>
          <w:rFonts w:ascii="Arial" w:cs="Arial" w:eastAsia="Arial" w:hAnsi="Arial"/>
          <w:sz w:val="22"/>
          <w:szCs w:val="22"/>
        </w:rPr>
        <w:t xml:space="preserve">Общеизвестные сведения, без отдельного поиска:</w:t>
      </w:r>
    </w:p>
    <w:p>
      <w:pPr>
        <w:pStyle w:val="ListParagraph"/>
        <w:numPr>
          <w:ilvl w:val="0"/>
          <w:numId w:val="2"/>
        </w:numPr>
        <w:spacing w:after="80"/>
      </w:pPr>
      <w:r>
        <w:rPr>
          <w:rFonts w:ascii="Arial" w:cs="Arial" w:eastAsia="Arial" w:hAnsi="Arial"/>
          <w:sz w:val="22"/>
          <w:szCs w:val="22"/>
        </w:rPr>
        <w:t xml:space="preserve">SAMe, 5-HTP и триптофан в сочетании с антидепрессантами повышают риск серотонинового синдрома.</w:t>
      </w:r>
    </w:p>
    <w:p>
      <w:pPr>
        <w:pStyle w:val="ListParagraph"/>
        <w:numPr>
          <w:ilvl w:val="0"/>
          <w:numId w:val="2"/>
        </w:numPr>
        <w:spacing w:after="80"/>
      </w:pPr>
      <w:r>
        <w:rPr>
          <w:rFonts w:ascii="Arial" w:cs="Arial" w:eastAsia="Arial" w:hAnsi="Arial"/>
          <w:sz w:val="22"/>
          <w:szCs w:val="22"/>
        </w:rPr>
        <w:t xml:space="preserve">SAMe может провоцировать манию при биполярном расстройстве.</w:t>
      </w:r>
    </w:p>
    <w:p>
      <w:pPr>
        <w:pStyle w:val="ListParagraph"/>
        <w:numPr>
          <w:ilvl w:val="0"/>
          <w:numId w:val="2"/>
        </w:numPr>
        <w:spacing w:after="80"/>
      </w:pPr>
      <w:r>
        <w:rPr>
          <w:rFonts w:ascii="Arial" w:cs="Arial" w:eastAsia="Arial" w:hAnsi="Arial"/>
          <w:sz w:val="22"/>
          <w:szCs w:val="22"/>
        </w:rPr>
        <w:t xml:space="preserve">Приём любых из этих средств нужно согласовывать с врачом, особенно при уже принимаемых антидепрессантах и других препаратах.</w:t>
      </w:r>
    </w:p>
    <w:p>
      <w:pPr>
        <w:pStyle w:val="Heading1"/>
        <w:spacing w:after="120" w:before="280"/>
      </w:pPr>
      <w:r>
        <w:rPr>
          <w:rFonts w:ascii="Arial" w:cs="Arial" w:eastAsia="Arial" w:hAnsi="Arial"/>
          <w:b/>
          <w:bCs/>
          <w:color w:val="1F3864"/>
          <w:sz w:val="28"/>
          <w:szCs w:val="28"/>
        </w:rPr>
        <w:t xml:space="preserve">Ограничения обзора</w:t>
      </w:r>
    </w:p>
    <w:p>
      <w:pPr>
        <w:spacing w:after="120" w:line="276"/>
      </w:pPr>
      <w:r>
        <w:rPr>
          <w:rFonts w:ascii="Arial" w:cs="Arial" w:eastAsia="Arial" w:hAnsi="Arial"/>
          <w:sz w:val="22"/>
          <w:szCs w:val="22"/>
        </w:rPr>
        <w:t xml:space="preserve">Обзор опирается на аннотации и обзорные работы, а не на полные тексты всех РКИ. По многим веществам (SAMe, NAC, креатин) сами обзоры указывают на малые выборки и возможное смещение публикаций. Дозы приведены только там, где они есть в источниках.</w:t>
      </w:r>
    </w:p>
    <w:p>
      <w:pPr>
        <w:pStyle w:val="Heading1"/>
        <w:spacing w:after="120" w:before="280"/>
      </w:pPr>
      <w:r>
        <w:rPr>
          <w:rFonts w:ascii="Arial" w:cs="Arial" w:eastAsia="Arial" w:hAnsi="Arial"/>
          <w:b/>
          <w:bCs/>
          <w:color w:val="1F3864"/>
          <w:sz w:val="28"/>
          <w:szCs w:val="28"/>
        </w:rPr>
        <w:t xml:space="preserve">Источники</w:t>
      </w:r>
    </w:p>
    <w:p>
      <w:pPr>
        <w:pStyle w:val="ListParagraph"/>
        <w:numPr>
          <w:ilvl w:val="0"/>
          <w:numId w:val="2"/>
        </w:numPr>
        <w:spacing w:after="80"/>
      </w:pPr>
      <w:r>
        <w:rPr>
          <w:rFonts w:ascii="Arial" w:cs="Arial" w:eastAsia="Arial" w:hAnsi="Arial"/>
          <w:sz w:val="20"/>
          <w:szCs w:val="20"/>
        </w:rPr>
        <w:t xml:space="preserve">Veronese N. et al. Acetyl-L-carnitine and depressive symptoms: systematic review and meta-analysis. Psychosom Med, 2017 (PMID 29076953)</w:t>
      </w:r>
    </w:p>
    <w:p>
      <w:pPr>
        <w:pStyle w:val="ListParagraph"/>
        <w:numPr>
          <w:ilvl w:val="0"/>
          <w:numId w:val="2"/>
        </w:numPr>
        <w:spacing w:after="80"/>
      </w:pPr>
      <w:r>
        <w:rPr>
          <w:rFonts w:ascii="Arial" w:cs="Arial" w:eastAsia="Arial" w:hAnsi="Arial"/>
          <w:sz w:val="20"/>
          <w:szCs w:val="20"/>
        </w:rPr>
        <w:t xml:space="preserve">Acetyl-L-Carnitine in Mood Disorders: systematic review and meta-analysis (PMID 42261369)</w:t>
      </w:r>
    </w:p>
    <w:p>
      <w:pPr>
        <w:pStyle w:val="ListParagraph"/>
        <w:numPr>
          <w:ilvl w:val="0"/>
          <w:numId w:val="2"/>
        </w:numPr>
        <w:spacing w:after="80"/>
      </w:pPr>
      <w:r>
        <w:rPr>
          <w:rFonts w:ascii="Arial" w:cs="Arial" w:eastAsia="Arial" w:hAnsi="Arial"/>
          <w:sz w:val="20"/>
          <w:szCs w:val="20"/>
        </w:rPr>
        <w:t xml:space="preserve">Li S. et al. Acetyl-L-carnitine in peripheral neuropathic pain. PLoS One, 2015 (e0119479)</w:t>
      </w:r>
    </w:p>
    <w:p>
      <w:pPr>
        <w:pStyle w:val="ListParagraph"/>
        <w:numPr>
          <w:ilvl w:val="0"/>
          <w:numId w:val="2"/>
        </w:numPr>
        <w:spacing w:after="80"/>
      </w:pPr>
      <w:r>
        <w:rPr>
          <w:rFonts w:ascii="Arial" w:cs="Arial" w:eastAsia="Arial" w:hAnsi="Arial"/>
          <w:sz w:val="20"/>
          <w:szCs w:val="20"/>
        </w:rPr>
        <w:t xml:space="preserve">Cochrane: Acetyl-L-carnitine for diabetic peripheral neuropathy (PMID 31201734)</w:t>
      </w:r>
    </w:p>
    <w:p>
      <w:pPr>
        <w:pStyle w:val="ListParagraph"/>
        <w:numPr>
          <w:ilvl w:val="0"/>
          <w:numId w:val="2"/>
        </w:numPr>
        <w:spacing w:after="80"/>
      </w:pPr>
      <w:r>
        <w:rPr>
          <w:rFonts w:ascii="Arial" w:cs="Arial" w:eastAsia="Arial" w:hAnsi="Arial"/>
          <w:sz w:val="20"/>
          <w:szCs w:val="20"/>
        </w:rPr>
        <w:t xml:space="preserve">Hershman D.L. et al. Two-year trends of taxane-induced neuropathy, SWOG S0715. JNCI, 2018 (PMC6005110)</w:t>
      </w:r>
    </w:p>
    <w:p>
      <w:pPr>
        <w:pStyle w:val="ListParagraph"/>
        <w:numPr>
          <w:ilvl w:val="0"/>
          <w:numId w:val="2"/>
        </w:numPr>
        <w:spacing w:after="80"/>
      </w:pPr>
      <w:r>
        <w:rPr>
          <w:rFonts w:ascii="Arial" w:cs="Arial" w:eastAsia="Arial" w:hAnsi="Arial"/>
          <w:sz w:val="20"/>
          <w:szCs w:val="20"/>
        </w:rPr>
        <w:t xml:space="preserve">Limveeraprajak N. et al. SAMe for depression: systematic review and meta-analysis. Eur Psychiatry, 2024 (PMC11863058)</w:t>
      </w:r>
    </w:p>
    <w:p>
      <w:pPr>
        <w:pStyle w:val="ListParagraph"/>
        <w:numPr>
          <w:ilvl w:val="0"/>
          <w:numId w:val="2"/>
        </w:numPr>
        <w:spacing w:after="80"/>
      </w:pPr>
      <w:r>
        <w:rPr>
          <w:rFonts w:ascii="Arial" w:cs="Arial" w:eastAsia="Arial" w:hAnsi="Arial"/>
          <w:sz w:val="20"/>
          <w:szCs w:val="20"/>
        </w:rPr>
        <w:t xml:space="preserve">Mini M. et al. N-acetylcysteine in depressive symptoms and functionality. J Clin Psychiatry, 2016 (PMID 27137430)</w:t>
      </w:r>
    </w:p>
    <w:p>
      <w:pPr>
        <w:pStyle w:val="ListParagraph"/>
        <w:numPr>
          <w:ilvl w:val="0"/>
          <w:numId w:val="2"/>
        </w:numPr>
        <w:spacing w:after="80"/>
      </w:pPr>
      <w:r>
        <w:rPr>
          <w:rFonts w:ascii="Arial" w:cs="Arial" w:eastAsia="Arial" w:hAnsi="Arial"/>
          <w:sz w:val="20"/>
          <w:szCs w:val="20"/>
        </w:rPr>
        <w:t xml:space="preserve">Zheng W. et al. N-acetylcysteine for major mental disorders. Acta Psychiatr Scand, 2018 (PMID 29457216)</w:t>
      </w:r>
    </w:p>
    <w:p>
      <w:pPr>
        <w:pStyle w:val="ListParagraph"/>
        <w:numPr>
          <w:ilvl w:val="0"/>
          <w:numId w:val="2"/>
        </w:numPr>
        <w:spacing w:after="80"/>
      </w:pPr>
      <w:r>
        <w:rPr>
          <w:rFonts w:ascii="Arial" w:cs="Arial" w:eastAsia="Arial" w:hAnsi="Arial"/>
          <w:sz w:val="20"/>
          <w:szCs w:val="20"/>
        </w:rPr>
        <w:t xml:space="preserve">Peng T.-R. et al. Efficacy of N-acetylcysteine for depression: updated meta-analysis. Gen Hosp Psychiatry, 2024</w:t>
      </w:r>
    </w:p>
    <w:p>
      <w:pPr>
        <w:pStyle w:val="ListParagraph"/>
        <w:numPr>
          <w:ilvl w:val="0"/>
          <w:numId w:val="2"/>
        </w:numPr>
        <w:spacing w:after="80"/>
      </w:pPr>
      <w:r>
        <w:rPr>
          <w:rFonts w:ascii="Arial" w:cs="Arial" w:eastAsia="Arial" w:hAnsi="Arial"/>
          <w:sz w:val="20"/>
          <w:szCs w:val="20"/>
        </w:rPr>
        <w:t xml:space="preserve">Shaw K. et al. Tryptophan and 5-hydroxytryptophan for depression. Cochrane, 2002 (CD003198)</w:t>
      </w:r>
    </w:p>
    <w:p>
      <w:pPr>
        <w:pStyle w:val="ListParagraph"/>
        <w:numPr>
          <w:ilvl w:val="0"/>
          <w:numId w:val="2"/>
        </w:numPr>
        <w:spacing w:after="80"/>
      </w:pPr>
      <w:r>
        <w:rPr>
          <w:rFonts w:ascii="Arial" w:cs="Arial" w:eastAsia="Arial" w:hAnsi="Arial"/>
          <w:sz w:val="20"/>
          <w:szCs w:val="20"/>
        </w:rPr>
        <w:t xml:space="preserve">Javelle F. et al. 5-HTP in distinct types of depression. Nutr Rev, 2020 (PMID 31504850)</w:t>
      </w:r>
    </w:p>
    <w:p>
      <w:pPr>
        <w:pStyle w:val="ListParagraph"/>
        <w:numPr>
          <w:ilvl w:val="0"/>
          <w:numId w:val="2"/>
        </w:numPr>
        <w:spacing w:after="80"/>
      </w:pPr>
      <w:r>
        <w:rPr>
          <w:rFonts w:ascii="Arial" w:cs="Arial" w:eastAsia="Arial" w:hAnsi="Arial"/>
          <w:sz w:val="20"/>
          <w:szCs w:val="20"/>
        </w:rPr>
        <w:t xml:space="preserve">Use of neurotransmitter precursors for treatment of depression. Altern Med Rev, 2000 (PMID 10696120)</w:t>
      </w:r>
    </w:p>
    <w:p>
      <w:pPr>
        <w:pStyle w:val="ListParagraph"/>
        <w:numPr>
          <w:ilvl w:val="0"/>
          <w:numId w:val="2"/>
        </w:numPr>
        <w:spacing w:after="80"/>
      </w:pPr>
      <w:r>
        <w:rPr>
          <w:rFonts w:ascii="Arial" w:cs="Arial" w:eastAsia="Arial" w:hAnsi="Arial"/>
          <w:sz w:val="20"/>
          <w:szCs w:val="20"/>
        </w:rPr>
        <w:t xml:space="preserve">Eckert I. et al. Creatine supplementation for symptoms of depression. Br J Nutr, 2025</w:t>
      </w:r>
    </w:p>
    <w:p>
      <w:pPr>
        <w:pStyle w:val="ListParagraph"/>
        <w:numPr>
          <w:ilvl w:val="0"/>
          <w:numId w:val="2"/>
        </w:numPr>
        <w:spacing w:after="80"/>
      </w:pPr>
      <w:r>
        <w:rPr>
          <w:rFonts w:ascii="Arial" w:cs="Arial" w:eastAsia="Arial" w:hAnsi="Arial"/>
          <w:sz w:val="20"/>
          <w:szCs w:val="20"/>
        </w:rPr>
        <w:t xml:space="preserve">Soliman N. et al. (NeuPSIG). Pharmacotherapy and neuromodulation for neuropathic pain. Lancet Neurol, 2025 (PMID 40252663)</w:t>
      </w:r>
    </w:p>
    <w:p>
      <w:pPr>
        <w:pStyle w:val="ListParagraph"/>
        <w:numPr>
          <w:ilvl w:val="0"/>
          <w:numId w:val="2"/>
        </w:numPr>
        <w:spacing w:after="80"/>
      </w:pPr>
      <w:r>
        <w:rPr>
          <w:rFonts w:ascii="Arial" w:cs="Arial" w:eastAsia="Arial" w:hAnsi="Arial"/>
          <w:sz w:val="20"/>
          <w:szCs w:val="20"/>
        </w:rPr>
        <w:t xml:space="preserve">Alpha-lipoic acid in diabetic neuropathy: AAFP 2016; Exploration of Neuroscience (meta-analysis)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bullet"/>
      <w:lvlText w:val="•"/>
      <w:lvlJc w:val="left"/>
      <w:pPr>
        <w:ind w:left="540" w:hanging="270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2026-10-02T04:19:05.538Z</dcterms:created>
  <dcterms:modified xsi:type="dcterms:W3CDTF">2026-10-02T04:19:05.550Z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